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490" w:type="dxa"/>
        <w:tblInd w:w="0" w:type="dxa"/>
        <w:tblLayout w:type="autofit"/>
        <w:tblCellMar>
          <w:top w:w="0" w:type="dxa"/>
          <w:left w:w="108" w:type="dxa"/>
          <w:bottom w:w="0" w:type="dxa"/>
          <w:right w:w="108" w:type="dxa"/>
        </w:tblCellMar>
      </w:tblPr>
      <w:tblGrid>
        <w:gridCol w:w="10490"/>
      </w:tblGrid>
      <w:tr>
        <w:tblPrEx>
          <w:tblCellMar>
            <w:top w:w="0" w:type="dxa"/>
            <w:left w:w="108" w:type="dxa"/>
            <w:bottom w:w="0" w:type="dxa"/>
            <w:right w:w="108" w:type="dxa"/>
          </w:tblCellMar>
        </w:tblPrEx>
        <w:trPr>
          <w:trHeight w:val="1050" w:hRule="atLeast"/>
        </w:trPr>
        <w:tc>
          <w:tcPr>
            <w:tcW w:w="1049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drawing>
                <wp:anchor distT="0" distB="0" distL="114300" distR="114300" simplePos="0" relativeHeight="251659264" behindDoc="0" locked="0" layoutInCell="1" allowOverlap="1">
                  <wp:simplePos x="0" y="0"/>
                  <wp:positionH relativeFrom="column">
                    <wp:posOffset>53340</wp:posOffset>
                  </wp:positionH>
                  <wp:positionV relativeFrom="paragraph">
                    <wp:posOffset>30480</wp:posOffset>
                  </wp:positionV>
                  <wp:extent cx="2644140" cy="579120"/>
                  <wp:effectExtent l="0" t="0" r="0" b="0"/>
                  <wp:wrapNone/>
                  <wp:docPr id="2082" name="图片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 name="图片 2082"/>
                          <pic:cNvPicPr>
                            <a:picLocks noChangeAspect="1"/>
                          </pic:cNvPicPr>
                        </pic:nvPicPr>
                        <pic:blipFill>
                          <a:blip r:embed="rId4"/>
                          <a:stretch>
                            <a:fillRect/>
                          </a:stretch>
                        </pic:blipFill>
                        <pic:spPr>
                          <a:xfrm>
                            <a:off x="0" y="0"/>
                            <a:ext cx="2637790" cy="581025"/>
                          </a:xfrm>
                          <a:prstGeom prst="rect">
                            <a:avLst/>
                          </a:prstGeom>
                          <a:noFill/>
                          <a:ln w="9525">
                            <a:noFill/>
                          </a:ln>
                        </pic:spPr>
                      </pic:pic>
                    </a:graphicData>
                  </a:graphic>
                </wp:anchor>
              </w:drawing>
            </w:r>
          </w:p>
          <w:tbl>
            <w:tblPr>
              <w:tblStyle w:val="2"/>
              <w:tblW w:w="0" w:type="auto"/>
              <w:tblCellSpacing w:w="0" w:type="dxa"/>
              <w:tblInd w:w="0" w:type="dxa"/>
              <w:tblLayout w:type="autofit"/>
              <w:tblCellMar>
                <w:top w:w="0" w:type="dxa"/>
                <w:left w:w="0" w:type="dxa"/>
                <w:bottom w:w="0" w:type="dxa"/>
                <w:right w:w="0" w:type="dxa"/>
              </w:tblCellMar>
            </w:tblPr>
            <w:tblGrid>
              <w:gridCol w:w="9860"/>
            </w:tblGrid>
            <w:tr>
              <w:tblPrEx>
                <w:tblCellMar>
                  <w:top w:w="0" w:type="dxa"/>
                  <w:left w:w="0" w:type="dxa"/>
                  <w:bottom w:w="0" w:type="dxa"/>
                  <w:right w:w="0" w:type="dxa"/>
                </w:tblCellMar>
              </w:tblPrEx>
              <w:trPr>
                <w:trHeight w:val="1050" w:hRule="atLeast"/>
                <w:tblCellSpacing w:w="0" w:type="dxa"/>
              </w:trPr>
              <w:tc>
                <w:tcPr>
                  <w:tcW w:w="986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p>
              </w:tc>
            </w:tr>
          </w:tbl>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90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2022 — 2023学年第二学期</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高一数学</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教学计划</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90"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经济贸易</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教学部</w:t>
            </w: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专业</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会计</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班级</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22会计班</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12"/>
                <w:szCs w:val="12"/>
              </w:rPr>
              <w:t>.</w:t>
            </w:r>
          </w:p>
        </w:tc>
      </w:tr>
      <w:tr>
        <w:tblPrEx>
          <w:tblCellMar>
            <w:top w:w="0" w:type="dxa"/>
            <w:left w:w="108" w:type="dxa"/>
            <w:bottom w:w="0" w:type="dxa"/>
            <w:right w:w="108" w:type="dxa"/>
          </w:tblCellMar>
        </w:tblPrEx>
        <w:trPr>
          <w:trHeight w:val="72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任课教师</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房洪兵</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12"/>
                <w:szCs w:val="12"/>
              </w:rPr>
              <w:t>.</w:t>
            </w: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78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6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130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lang w:val="en-US" w:eastAsia="zh-CN"/>
              </w:rPr>
              <w:t>2023</w:t>
            </w:r>
            <w:r>
              <w:rPr>
                <w:rFonts w:hint="eastAsia" w:ascii="宋体" w:hAnsi="宋体" w:eastAsia="宋体" w:cs="宋体"/>
                <w:b/>
                <w:bCs/>
                <w:kern w:val="0"/>
                <w:sz w:val="40"/>
                <w:szCs w:val="40"/>
              </w:rPr>
              <w:t>年</w:t>
            </w:r>
            <w:r>
              <w:rPr>
                <w:rFonts w:hint="eastAsia" w:ascii="宋体" w:hAnsi="宋体" w:eastAsia="宋体" w:cs="宋体"/>
                <w:b/>
                <w:bCs/>
                <w:kern w:val="0"/>
                <w:sz w:val="40"/>
                <w:szCs w:val="40"/>
                <w:lang w:val="en-US" w:eastAsia="zh-CN"/>
              </w:rPr>
              <w:t>2</w:t>
            </w:r>
            <w:r>
              <w:rPr>
                <w:rFonts w:hint="eastAsia" w:ascii="宋体" w:hAnsi="宋体" w:eastAsia="宋体" w:cs="宋体"/>
                <w:b/>
                <w:bCs/>
                <w:kern w:val="0"/>
                <w:sz w:val="40"/>
                <w:szCs w:val="40"/>
              </w:rPr>
              <w:t>月</w:t>
            </w:r>
            <w:r>
              <w:rPr>
                <w:rFonts w:hint="eastAsia" w:ascii="宋体" w:hAnsi="宋体" w:eastAsia="宋体" w:cs="宋体"/>
                <w:b/>
                <w:bCs/>
                <w:kern w:val="0"/>
                <w:sz w:val="40"/>
                <w:szCs w:val="40"/>
                <w:lang w:val="en-US" w:eastAsia="zh-CN"/>
              </w:rPr>
              <w:t>8</w:t>
            </w:r>
            <w:r>
              <w:rPr>
                <w:rFonts w:hint="eastAsia" w:ascii="宋体" w:hAnsi="宋体" w:eastAsia="宋体" w:cs="宋体"/>
                <w:b/>
                <w:bCs/>
                <w:kern w:val="0"/>
                <w:sz w:val="40"/>
                <w:szCs w:val="40"/>
              </w:rPr>
              <w:t>日</w:t>
            </w:r>
          </w:p>
        </w:tc>
      </w:tr>
      <w:tr>
        <w:tblPrEx>
          <w:tblCellMar>
            <w:top w:w="0" w:type="dxa"/>
            <w:left w:w="108" w:type="dxa"/>
            <w:bottom w:w="0" w:type="dxa"/>
            <w:right w:w="108" w:type="dxa"/>
          </w:tblCellMar>
        </w:tblPrEx>
        <w:trPr>
          <w:trHeight w:val="106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4485" w:hRule="atLeast"/>
        </w:trPr>
        <w:tc>
          <w:tcPr>
            <w:tcW w:w="10490" w:type="dxa"/>
            <w:tcBorders>
              <w:top w:val="single" w:color="auto" w:sz="4" w:space="0"/>
              <w:left w:val="single" w:color="auto" w:sz="4" w:space="0"/>
              <w:bottom w:val="single" w:color="auto" w:sz="4" w:space="0"/>
              <w:right w:val="single" w:color="auto" w:sz="4" w:space="0"/>
            </w:tcBorders>
            <w:shd w:val="clear" w:color="auto" w:fill="auto"/>
            <w:noWrap/>
          </w:tcPr>
          <w:p>
            <w:pPr>
              <w:widowControl/>
              <w:numPr>
                <w:ilvl w:val="0"/>
                <w:numId w:val="1"/>
              </w:numPr>
              <w:jc w:val="left"/>
              <w:rPr>
                <w:rFonts w:hint="eastAsia" w:ascii="宋体" w:hAnsi="宋体" w:eastAsia="宋体" w:cs="宋体"/>
                <w:kern w:val="0"/>
                <w:sz w:val="32"/>
                <w:szCs w:val="32"/>
              </w:rPr>
            </w:pPr>
            <w:r>
              <w:rPr>
                <w:rFonts w:hint="eastAsia" w:ascii="宋体" w:hAnsi="宋体" w:eastAsia="宋体" w:cs="宋体"/>
                <w:b/>
                <w:bCs/>
                <w:kern w:val="0"/>
                <w:sz w:val="32"/>
                <w:szCs w:val="32"/>
              </w:rPr>
              <w:t>教学目标：</w:t>
            </w:r>
            <w:r>
              <w:rPr>
                <w:rFonts w:hint="eastAsia" w:ascii="宋体" w:hAnsi="宋体" w:eastAsia="宋体" w:cs="宋体"/>
                <w:kern w:val="0"/>
                <w:sz w:val="32"/>
                <w:szCs w:val="32"/>
              </w:rPr>
              <w:t>(目的要求、质量标准)</w:t>
            </w:r>
          </w:p>
          <w:p>
            <w:pPr>
              <w:widowControl/>
              <w:numPr>
                <w:ilvl w:val="0"/>
                <w:numId w:val="2"/>
              </w:numPr>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要求学生掌握基础知识，并运用所学解答题目。</w:t>
            </w:r>
          </w:p>
          <w:p>
            <w:pPr>
              <w:widowControl/>
              <w:numPr>
                <w:ilvl w:val="0"/>
                <w:numId w:val="2"/>
              </w:numPr>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掌握公式、定理，并能解决实际问题。</w:t>
            </w:r>
          </w:p>
          <w:p>
            <w:pPr>
              <w:widowControl/>
              <w:numPr>
                <w:ilvl w:val="0"/>
                <w:numId w:val="2"/>
              </w:numPr>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培养学生分析问题，灵活运用知识的能力，提高学生学习兴趣。</w:t>
            </w:r>
          </w:p>
        </w:tc>
      </w:tr>
      <w:tr>
        <w:tblPrEx>
          <w:tblCellMar>
            <w:top w:w="0" w:type="dxa"/>
            <w:left w:w="108" w:type="dxa"/>
            <w:bottom w:w="0" w:type="dxa"/>
            <w:right w:w="108" w:type="dxa"/>
          </w:tblCellMar>
        </w:tblPrEx>
        <w:trPr>
          <w:trHeight w:val="441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kern w:val="0"/>
                <w:sz w:val="32"/>
                <w:szCs w:val="32"/>
              </w:rPr>
            </w:pPr>
            <w:r>
              <w:rPr>
                <w:rFonts w:hint="eastAsia" w:ascii="宋体" w:hAnsi="宋体" w:eastAsia="宋体" w:cs="宋体"/>
                <w:b/>
                <w:bCs/>
                <w:kern w:val="0"/>
                <w:sz w:val="32"/>
                <w:szCs w:val="32"/>
              </w:rPr>
              <w:t>学情分析</w:t>
            </w:r>
            <w:r>
              <w:rPr>
                <w:rFonts w:hint="eastAsia" w:ascii="宋体" w:hAnsi="宋体" w:eastAsia="宋体" w:cs="宋体"/>
                <w:kern w:val="0"/>
                <w:sz w:val="32"/>
                <w:szCs w:val="32"/>
              </w:rPr>
              <w:t>：</w:t>
            </w:r>
          </w:p>
          <w:p>
            <w:pPr>
              <w:widowControl/>
              <w:numPr>
                <w:ilvl w:val="0"/>
                <w:numId w:val="0"/>
              </w:numPr>
              <w:ind w:leftChars="0" w:firstLine="640" w:firstLineChars="200"/>
              <w:jc w:val="left"/>
              <w:rPr>
                <w:rFonts w:hint="eastAsia" w:ascii="宋体" w:hAnsi="宋体" w:eastAsia="宋体" w:cs="宋体"/>
                <w:kern w:val="0"/>
                <w:sz w:val="32"/>
                <w:szCs w:val="32"/>
                <w:lang w:eastAsia="zh-CN"/>
              </w:rPr>
            </w:pPr>
            <w:r>
              <w:rPr>
                <w:rFonts w:hint="eastAsia" w:ascii="宋体" w:hAnsi="宋体" w:eastAsia="宋体" w:cs="宋体"/>
                <w:kern w:val="0"/>
                <w:sz w:val="32"/>
                <w:szCs w:val="32"/>
                <w:lang w:eastAsia="zh-CN"/>
              </w:rPr>
              <w:t>该班</w:t>
            </w:r>
            <w:bookmarkStart w:id="0" w:name="_GoBack"/>
            <w:bookmarkEnd w:id="0"/>
            <w:r>
              <w:rPr>
                <w:rFonts w:hint="eastAsia" w:ascii="宋体" w:hAnsi="宋体" w:eastAsia="宋体" w:cs="宋体"/>
                <w:kern w:val="0"/>
                <w:sz w:val="32"/>
                <w:szCs w:val="32"/>
                <w:lang w:eastAsia="zh-CN"/>
              </w:rPr>
              <w:t>学生基础较差，缺乏自主学习能力、分析问题能力、解决问题、灵活运用知识解决问题能力差，遇到困难习惯性的习惯性的逃避或者放弃。不做笔记、不预习，没有良好的学习习惯。</w:t>
            </w:r>
          </w:p>
        </w:tc>
      </w:tr>
      <w:tr>
        <w:tblPrEx>
          <w:tblCellMar>
            <w:top w:w="0" w:type="dxa"/>
            <w:left w:w="108" w:type="dxa"/>
            <w:bottom w:w="0" w:type="dxa"/>
            <w:right w:w="108" w:type="dxa"/>
          </w:tblCellMar>
        </w:tblPrEx>
        <w:trPr>
          <w:trHeight w:val="468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教材分析：</w:t>
            </w:r>
          </w:p>
          <w:p>
            <w:pPr>
              <w:widowControl/>
              <w:numPr>
                <w:ilvl w:val="0"/>
                <w:numId w:val="3"/>
              </w:numPr>
              <w:ind w:leftChars="0"/>
              <w:jc w:val="left"/>
              <w:rPr>
                <w:rFonts w:hint="eastAsia"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三角函数一章从初中的锐角三角函数扩展到现在的任意角的三角函数，增强学生数形结合思想。</w:t>
            </w:r>
          </w:p>
          <w:p>
            <w:pPr>
              <w:widowControl/>
              <w:numPr>
                <w:ilvl w:val="0"/>
                <w:numId w:val="3"/>
              </w:numPr>
              <w:ind w:leftChars="0"/>
              <w:jc w:val="left"/>
              <w:rPr>
                <w:rFonts w:hint="eastAsia"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数列一章，主要锻炼学生对数字及其规律的观察及分析总结问题的能力。</w:t>
            </w:r>
          </w:p>
          <w:p>
            <w:pPr>
              <w:widowControl/>
              <w:numPr>
                <w:ilvl w:val="0"/>
                <w:numId w:val="3"/>
              </w:numPr>
              <w:ind w:leftChars="0"/>
              <w:jc w:val="left"/>
              <w:rPr>
                <w:rFonts w:hint="eastAsia"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简单地几何体与我们的生活紧密联系在一起。</w:t>
            </w:r>
          </w:p>
          <w:p>
            <w:pPr>
              <w:widowControl/>
              <w:numPr>
                <w:ilvl w:val="0"/>
                <w:numId w:val="3"/>
              </w:numPr>
              <w:ind w:leftChars="0"/>
              <w:jc w:val="left"/>
              <w:rPr>
                <w:rFonts w:hint="eastAsia"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向量一章从物理中来，用坐标转化成数学，以更好的进行应用。</w:t>
            </w:r>
          </w:p>
        </w:tc>
      </w:tr>
    </w:tbl>
    <w:p/>
    <w:p/>
    <w:p/>
    <w:p/>
    <w:p/>
    <w:tbl>
      <w:tblPr>
        <w:tblStyle w:val="2"/>
        <w:tblW w:w="10485" w:type="dxa"/>
        <w:tblInd w:w="0" w:type="dxa"/>
        <w:tblLayout w:type="autofit"/>
        <w:tblCellMar>
          <w:top w:w="0" w:type="dxa"/>
          <w:left w:w="108" w:type="dxa"/>
          <w:bottom w:w="0" w:type="dxa"/>
          <w:right w:w="108" w:type="dxa"/>
        </w:tblCellMar>
      </w:tblPr>
      <w:tblGrid>
        <w:gridCol w:w="10485"/>
      </w:tblGrid>
      <w:tr>
        <w:tblPrEx>
          <w:tblCellMar>
            <w:top w:w="0" w:type="dxa"/>
            <w:left w:w="108" w:type="dxa"/>
            <w:bottom w:w="0" w:type="dxa"/>
            <w:right w:w="108" w:type="dxa"/>
          </w:tblCellMar>
        </w:tblPrEx>
        <w:trPr>
          <w:trHeight w:val="4635" w:hRule="atLeast"/>
        </w:trPr>
        <w:tc>
          <w:tcPr>
            <w:tcW w:w="10485" w:type="dxa"/>
            <w:tcBorders>
              <w:top w:val="single" w:color="auto" w:sz="4" w:space="0"/>
              <w:left w:val="single" w:color="auto" w:sz="4" w:space="0"/>
              <w:bottom w:val="nil"/>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教学重点难点：</w:t>
            </w:r>
          </w:p>
          <w:p>
            <w:pPr>
              <w:widowControl/>
              <w:numPr>
                <w:ilvl w:val="0"/>
                <w:numId w:val="0"/>
              </w:numPr>
              <w:ind w:leftChars="0"/>
              <w:jc w:val="left"/>
              <w:rPr>
                <w:rFonts w:hint="eastAsia" w:ascii="宋体" w:hAnsi="宋体" w:eastAsia="宋体" w:cs="宋体"/>
                <w:b/>
                <w:bCs/>
                <w:kern w:val="0"/>
                <w:sz w:val="32"/>
                <w:szCs w:val="32"/>
                <w:lang w:val="en-US" w:eastAsia="zh-CN"/>
              </w:rPr>
            </w:pPr>
            <w:r>
              <w:rPr>
                <w:rFonts w:hint="eastAsia" w:ascii="宋体" w:hAnsi="宋体" w:eastAsia="宋体" w:cs="宋体"/>
                <w:b/>
                <w:bCs/>
                <w:kern w:val="0"/>
                <w:sz w:val="32"/>
                <w:szCs w:val="32"/>
                <w:lang w:eastAsia="zh-CN"/>
              </w:rPr>
              <w:t>重点：</w:t>
            </w:r>
            <w:r>
              <w:rPr>
                <w:rFonts w:hint="eastAsia" w:ascii="宋体" w:hAnsi="宋体" w:eastAsia="宋体" w:cs="宋体"/>
                <w:b/>
                <w:bCs/>
                <w:kern w:val="0"/>
                <w:sz w:val="32"/>
                <w:szCs w:val="32"/>
                <w:lang w:val="en-US" w:eastAsia="zh-CN"/>
              </w:rPr>
              <w:t>1、三角函数、诱导公式及图像、性质</w:t>
            </w:r>
          </w:p>
          <w:p>
            <w:pPr>
              <w:widowControl/>
              <w:numPr>
                <w:ilvl w:val="0"/>
                <w:numId w:val="4"/>
              </w:numPr>
              <w:ind w:leftChars="0"/>
              <w:jc w:val="left"/>
              <w:rPr>
                <w:rFonts w:hint="eastAsia"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等差、等比数列通项公式与前n项和</w:t>
            </w:r>
          </w:p>
          <w:p>
            <w:pPr>
              <w:widowControl/>
              <w:numPr>
                <w:ilvl w:val="0"/>
                <w:numId w:val="4"/>
              </w:numPr>
              <w:ind w:leftChars="0"/>
              <w:jc w:val="left"/>
              <w:rPr>
                <w:rFonts w:hint="default"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向量线性运算及内积，坐标运算</w:t>
            </w:r>
          </w:p>
          <w:p>
            <w:pPr>
              <w:widowControl/>
              <w:numPr>
                <w:ilvl w:val="0"/>
                <w:numId w:val="0"/>
              </w:numPr>
              <w:ind w:leftChars="0"/>
              <w:jc w:val="left"/>
              <w:rPr>
                <w:rFonts w:hint="eastAsia"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难点：1、三角函数、诱导公式及图像、性质</w:t>
            </w:r>
          </w:p>
          <w:p>
            <w:pPr>
              <w:widowControl/>
              <w:numPr>
                <w:ilvl w:val="0"/>
                <w:numId w:val="0"/>
              </w:numPr>
              <w:jc w:val="left"/>
              <w:rPr>
                <w:rFonts w:hint="default"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2、向量线性运算及内积，坐标运算</w:t>
            </w:r>
          </w:p>
          <w:p>
            <w:pPr>
              <w:widowControl/>
              <w:numPr>
                <w:ilvl w:val="0"/>
                <w:numId w:val="0"/>
              </w:numPr>
              <w:jc w:val="left"/>
              <w:rPr>
                <w:rFonts w:hint="eastAsia" w:ascii="宋体" w:hAnsi="宋体" w:eastAsia="宋体" w:cs="宋体"/>
                <w:b/>
                <w:bCs/>
                <w:kern w:val="0"/>
                <w:sz w:val="32"/>
                <w:szCs w:val="32"/>
                <w:lang w:val="en-US" w:eastAsia="zh-CN"/>
              </w:rPr>
            </w:pPr>
          </w:p>
        </w:tc>
      </w:tr>
      <w:tr>
        <w:tblPrEx>
          <w:tblCellMar>
            <w:top w:w="0" w:type="dxa"/>
            <w:left w:w="108" w:type="dxa"/>
            <w:bottom w:w="0" w:type="dxa"/>
            <w:right w:w="108" w:type="dxa"/>
          </w:tblCellMar>
        </w:tblPrEx>
        <w:trPr>
          <w:trHeight w:val="8190" w:hRule="atLeast"/>
        </w:trPr>
        <w:tc>
          <w:tcPr>
            <w:tcW w:w="10485" w:type="dxa"/>
            <w:tcBorders>
              <w:top w:val="single" w:color="auto" w:sz="4" w:space="0"/>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教学方法及采取措施：</w:t>
            </w:r>
          </w:p>
          <w:p>
            <w:pPr>
              <w:widowControl/>
              <w:numPr>
                <w:ilvl w:val="0"/>
                <w:numId w:val="5"/>
              </w:numPr>
              <w:ind w:leftChars="0"/>
              <w:jc w:val="left"/>
              <w:rPr>
                <w:rFonts w:hint="eastAsia"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讲授法、类比法、讨论法、实践锻炼法</w:t>
            </w:r>
          </w:p>
          <w:p>
            <w:pPr>
              <w:widowControl/>
              <w:numPr>
                <w:ilvl w:val="0"/>
                <w:numId w:val="5"/>
              </w:numPr>
              <w:ind w:leftChars="0"/>
              <w:jc w:val="left"/>
              <w:rPr>
                <w:rFonts w:hint="eastAsia"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采用任务驱动教学方法，在相关课时中，安排任务目标，用小组合作教学法，分组交流合作探究等形式。</w:t>
            </w:r>
          </w:p>
          <w:p>
            <w:pPr>
              <w:widowControl/>
              <w:numPr>
                <w:ilvl w:val="0"/>
                <w:numId w:val="5"/>
              </w:numPr>
              <w:ind w:leftChars="0"/>
              <w:jc w:val="left"/>
              <w:rPr>
                <w:rFonts w:hint="eastAsia"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认真钻研教材，采用新颖的教学导入点吸引学生兴趣，引导学生学习并严格要求，制定学习目标。</w:t>
            </w:r>
          </w:p>
          <w:p>
            <w:pPr>
              <w:widowControl/>
              <w:numPr>
                <w:ilvl w:val="0"/>
                <w:numId w:val="5"/>
              </w:numPr>
              <w:ind w:leftChars="0"/>
              <w:jc w:val="left"/>
              <w:rPr>
                <w:rFonts w:hint="eastAsia"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培养学生的创新能力和动手能力。</w:t>
            </w:r>
          </w:p>
          <w:p>
            <w:pPr>
              <w:widowControl/>
              <w:numPr>
                <w:ilvl w:val="0"/>
                <w:numId w:val="0"/>
              </w:numPr>
              <w:jc w:val="left"/>
              <w:rPr>
                <w:rFonts w:hint="eastAsia" w:ascii="宋体" w:hAnsi="宋体" w:eastAsia="宋体" w:cs="宋体"/>
                <w:b/>
                <w:bCs/>
                <w:kern w:val="0"/>
                <w:sz w:val="32"/>
                <w:szCs w:val="32"/>
                <w:lang w:val="en-US" w:eastAsia="zh-CN"/>
              </w:rPr>
            </w:pPr>
          </w:p>
        </w:tc>
      </w:tr>
      <w:tr>
        <w:tblPrEx>
          <w:tblCellMar>
            <w:top w:w="0" w:type="dxa"/>
            <w:left w:w="108" w:type="dxa"/>
            <w:bottom w:w="0" w:type="dxa"/>
            <w:right w:w="108" w:type="dxa"/>
          </w:tblCellMar>
        </w:tblPrEx>
        <w:trPr>
          <w:trHeight w:val="540" w:hRule="atLeast"/>
        </w:trPr>
        <w:tc>
          <w:tcPr>
            <w:tcW w:w="10485" w:type="dxa"/>
            <w:tcBorders>
              <w:top w:val="nil"/>
              <w:left w:val="nil"/>
              <w:bottom w:val="nil"/>
              <w:right w:val="nil"/>
            </w:tcBorders>
            <w:shd w:val="clear" w:color="auto" w:fill="auto"/>
            <w:noWrap/>
          </w:tcPr>
          <w:p>
            <w:pPr>
              <w:widowControl/>
              <w:jc w:val="left"/>
              <w:rPr>
                <w:rFonts w:ascii="宋体" w:hAnsi="宋体" w:eastAsia="宋体" w:cs="宋体"/>
                <w:b/>
                <w:bCs/>
                <w:kern w:val="0"/>
                <w:sz w:val="32"/>
                <w:szCs w:val="32"/>
              </w:rPr>
            </w:pPr>
            <w:r>
              <w:rPr>
                <w:rFonts w:hint="eastAsia" w:ascii="宋体" w:hAnsi="宋体" w:eastAsia="宋体" w:cs="宋体"/>
                <w:b/>
                <w:bCs/>
                <w:kern w:val="0"/>
                <w:sz w:val="32"/>
                <w:szCs w:val="32"/>
              </w:rPr>
              <w:t>附：学 期 授 课 计 划 表</w:t>
            </w:r>
          </w:p>
        </w:tc>
      </w:tr>
    </w:tbl>
    <w:p/>
    <w:p/>
    <w:p/>
    <w:p/>
    <w:p/>
    <w:p/>
    <w:p>
      <w:pPr>
        <w:jc w:val="center"/>
        <w:rPr>
          <w:rFonts w:hint="eastAsia"/>
          <w:b/>
          <w:sz w:val="44"/>
        </w:rPr>
      </w:pPr>
      <w:r>
        <w:rPr>
          <w:rFonts w:hint="eastAsia"/>
          <w:b/>
          <w:sz w:val="44"/>
        </w:rPr>
        <w:t>学</w:t>
      </w:r>
      <w:r>
        <w:rPr>
          <w:b/>
          <w:sz w:val="44"/>
        </w:rPr>
        <w:t xml:space="preserve"> 期 授 课 计 划 表</w:t>
      </w:r>
    </w:p>
    <w:p>
      <w:pPr>
        <w:rPr>
          <w:rFonts w:hint="eastAsia"/>
        </w:rPr>
      </w:pPr>
    </w:p>
    <w:tbl>
      <w:tblPr>
        <w:tblStyle w:val="2"/>
        <w:tblW w:w="10480" w:type="dxa"/>
        <w:tblInd w:w="0" w:type="dxa"/>
        <w:tblLayout w:type="autofit"/>
        <w:tblCellMar>
          <w:top w:w="0" w:type="dxa"/>
          <w:left w:w="108" w:type="dxa"/>
          <w:bottom w:w="0" w:type="dxa"/>
          <w:right w:w="108" w:type="dxa"/>
        </w:tblCellMar>
      </w:tblPr>
      <w:tblGrid>
        <w:gridCol w:w="840"/>
        <w:gridCol w:w="2060"/>
        <w:gridCol w:w="3940"/>
        <w:gridCol w:w="2480"/>
        <w:gridCol w:w="600"/>
        <w:gridCol w:w="560"/>
      </w:tblGrid>
      <w:tr>
        <w:tblPrEx>
          <w:tblCellMar>
            <w:top w:w="0" w:type="dxa"/>
            <w:left w:w="108" w:type="dxa"/>
            <w:bottom w:w="0" w:type="dxa"/>
            <w:right w:w="108" w:type="dxa"/>
          </w:tblCellMar>
        </w:tblPrEx>
        <w:trPr>
          <w:trHeight w:val="801" w:hRule="atLeast"/>
        </w:trPr>
        <w:tc>
          <w:tcPr>
            <w:tcW w:w="840" w:type="dxa"/>
            <w:tcBorders>
              <w:top w:val="single" w:color="auto" w:sz="8" w:space="0"/>
              <w:left w:val="single" w:color="auto" w:sz="8"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周次</w:t>
            </w:r>
          </w:p>
        </w:tc>
        <w:tc>
          <w:tcPr>
            <w:tcW w:w="206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时间</w:t>
            </w:r>
          </w:p>
        </w:tc>
        <w:tc>
          <w:tcPr>
            <w:tcW w:w="394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授课章节及内容提要</w:t>
            </w:r>
          </w:p>
        </w:tc>
        <w:tc>
          <w:tcPr>
            <w:tcW w:w="248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重点和难点</w:t>
            </w:r>
          </w:p>
        </w:tc>
        <w:tc>
          <w:tcPr>
            <w:tcW w:w="60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课时</w:t>
            </w:r>
          </w:p>
        </w:tc>
        <w:tc>
          <w:tcPr>
            <w:tcW w:w="560" w:type="dxa"/>
            <w:tcBorders>
              <w:top w:val="single" w:color="auto" w:sz="8" w:space="0"/>
              <w:left w:val="nil"/>
              <w:bottom w:val="single" w:color="auto" w:sz="4" w:space="0"/>
              <w:right w:val="single" w:color="auto" w:sz="8"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备注</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2.06--2.10</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32"/>
                <w:szCs w:val="32"/>
                <w:lang w:eastAsia="zh-CN"/>
              </w:rPr>
            </w:pPr>
            <w:r>
              <w:rPr>
                <w:rFonts w:hint="eastAsia" w:ascii="宋体" w:hAnsi="宋体" w:eastAsia="宋体" w:cs="宋体"/>
                <w:kern w:val="0"/>
                <w:sz w:val="32"/>
                <w:szCs w:val="32"/>
                <w:lang w:eastAsia="zh-CN"/>
              </w:rPr>
              <w:t>复习上学期内容</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32"/>
                <w:szCs w:val="32"/>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4</w:t>
            </w:r>
          </w:p>
        </w:tc>
        <w:tc>
          <w:tcPr>
            <w:tcW w:w="560" w:type="dxa"/>
            <w:tcBorders>
              <w:top w:val="nil"/>
              <w:left w:val="nil"/>
              <w:bottom w:val="single" w:color="auto" w:sz="4" w:space="0"/>
              <w:right w:val="single" w:color="auto" w:sz="8" w:space="0"/>
            </w:tcBorders>
            <w:shd w:val="clear" w:color="auto" w:fill="auto"/>
            <w:vAlign w:val="center"/>
          </w:tcPr>
          <w:p>
            <w:pPr>
              <w:widowControl/>
              <w:jc w:val="left"/>
              <w:rPr>
                <w:rFonts w:hint="eastAsia" w:ascii="楷体_GB2312" w:hAnsi="宋体" w:eastAsia="楷体_GB2312" w:cs="宋体"/>
                <w:kern w:val="0"/>
                <w:sz w:val="18"/>
                <w:szCs w:val="18"/>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2.13--2.17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32"/>
                <w:szCs w:val="32"/>
                <w:lang w:eastAsia="zh-CN"/>
              </w:rPr>
              <w:t>复习上学期内容</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2.20--2.24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角的概念、弧度制</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eastAsia="zh-CN"/>
              </w:rPr>
              <w:t>角的概念、弧度制</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2.27--3.03</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任意角的三角函数</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eastAsia="zh-CN"/>
              </w:rPr>
              <w:t>任意角的三角函数</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3.06--3.10</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同角三角函数基本关系、诱导公式</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eastAsia="zh-CN"/>
              </w:rPr>
              <w:t>同角三角函数基本关系</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6</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3.13--3.17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诱导公式、正弦函数图像和性质</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eastAsia="zh-CN"/>
              </w:rPr>
              <w:t>诱导公式、正弦函数图像和性质</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3.20--3.24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余弦函数图像和性质</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eastAsia="zh-CN"/>
              </w:rPr>
              <w:t>余弦函数图像和性质</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3.27--3.31</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已知三角函数求角</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eastAsia="zh-CN"/>
              </w:rPr>
              <w:t>已知三角函数求角</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4.03--4.07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坐标系中的基本公式</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坐标系中的基本公式</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清明节</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4.10--4.14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eastAsia="zh-CN"/>
              </w:rPr>
              <w:t>直线与方程</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eastAsia="zh-CN"/>
              </w:rPr>
              <w:t>直线与方程</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r>
              <w:rPr>
                <w:rFonts w:hint="eastAsia" w:ascii="楷体_GB2312" w:hAnsi="宋体" w:eastAsia="楷体_GB2312" w:cs="宋体"/>
                <w:kern w:val="0"/>
                <w:sz w:val="24"/>
                <w:szCs w:val="24"/>
              </w:rPr>
              <w:t xml:space="preserve"> </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4.17--4.21</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直线倾斜角、直线方程几种形式</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eastAsia="zh-CN"/>
              </w:rPr>
              <w:t>直线倾斜角、直线方程几种形式</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期中考试</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4.24--4.28</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eastAsia="zh-CN"/>
              </w:rPr>
              <w:t>点到直线的距离</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eastAsia="zh-CN"/>
              </w:rPr>
              <w:t>点到直线的距离</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5.01--5.05</w:t>
            </w:r>
          </w:p>
        </w:tc>
        <w:tc>
          <w:tcPr>
            <w:tcW w:w="7580" w:type="dxa"/>
            <w:gridSpan w:val="4"/>
            <w:tcBorders>
              <w:top w:val="single" w:color="auto" w:sz="4" w:space="0"/>
              <w:left w:val="nil"/>
              <w:bottom w:val="single" w:color="auto" w:sz="4" w:space="0"/>
              <w:right w:val="single" w:color="000000" w:sz="8"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5.1假期</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5.08--5.12</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楷体_GB2312" w:hAnsi="宋体" w:eastAsia="楷体_GB2312" w:cs="宋体"/>
                <w:kern w:val="0"/>
                <w:sz w:val="36"/>
                <w:szCs w:val="36"/>
                <w:lang w:eastAsia="zh-CN"/>
              </w:rPr>
            </w:pPr>
            <w:r>
              <w:rPr>
                <w:rFonts w:hint="eastAsia" w:ascii="楷体_GB2312" w:hAnsi="宋体" w:eastAsia="楷体_GB2312" w:cs="宋体"/>
                <w:kern w:val="0"/>
                <w:sz w:val="36"/>
                <w:szCs w:val="36"/>
                <w:lang w:eastAsia="zh-CN"/>
              </w:rPr>
              <w:t>直线和圆的位置关系</w:t>
            </w:r>
          </w:p>
        </w:tc>
        <w:tc>
          <w:tcPr>
            <w:tcW w:w="248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楷体_GB2312" w:hAnsi="宋体" w:eastAsia="楷体_GB2312" w:cs="宋体"/>
                <w:kern w:val="0"/>
                <w:sz w:val="36"/>
                <w:szCs w:val="36"/>
                <w:lang w:val="en-US" w:eastAsia="zh-CN" w:bidi="ar-SA"/>
              </w:rPr>
            </w:pPr>
            <w:r>
              <w:rPr>
                <w:rFonts w:hint="eastAsia" w:ascii="楷体_GB2312" w:hAnsi="宋体" w:eastAsia="楷体_GB2312" w:cs="宋体"/>
                <w:kern w:val="0"/>
                <w:sz w:val="36"/>
                <w:szCs w:val="36"/>
                <w:lang w:eastAsia="zh-CN"/>
              </w:rPr>
              <w:t>直线和圆的位置关系</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5.15--5.19</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楷体_GB2312" w:hAnsi="宋体" w:eastAsia="楷体_GB2312" w:cs="宋体"/>
                <w:kern w:val="0"/>
                <w:sz w:val="36"/>
                <w:szCs w:val="36"/>
                <w:lang w:eastAsia="zh-CN"/>
              </w:rPr>
            </w:pPr>
            <w:r>
              <w:rPr>
                <w:rFonts w:hint="eastAsia" w:ascii="楷体_GB2312" w:hAnsi="宋体" w:eastAsia="楷体_GB2312" w:cs="宋体"/>
                <w:kern w:val="0"/>
                <w:sz w:val="36"/>
                <w:szCs w:val="36"/>
                <w:lang w:eastAsia="zh-CN"/>
              </w:rPr>
              <w:t>直线和圆的方程的应用</w:t>
            </w:r>
          </w:p>
        </w:tc>
        <w:tc>
          <w:tcPr>
            <w:tcW w:w="248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楷体_GB2312" w:hAnsi="宋体" w:eastAsia="楷体_GB2312" w:cs="宋体"/>
                <w:kern w:val="0"/>
                <w:sz w:val="36"/>
                <w:szCs w:val="36"/>
                <w:lang w:val="en-US" w:eastAsia="zh-CN" w:bidi="ar-SA"/>
              </w:rPr>
            </w:pPr>
            <w:r>
              <w:rPr>
                <w:rFonts w:hint="eastAsia" w:ascii="楷体_GB2312" w:hAnsi="宋体" w:eastAsia="楷体_GB2312" w:cs="宋体"/>
                <w:kern w:val="0"/>
                <w:sz w:val="36"/>
                <w:szCs w:val="36"/>
                <w:lang w:eastAsia="zh-CN"/>
              </w:rPr>
              <w:t>直线和圆的方程的应用</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single" w:color="auto" w:sz="4" w:space="0"/>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16</w:t>
            </w:r>
          </w:p>
        </w:tc>
        <w:tc>
          <w:tcPr>
            <w:tcW w:w="206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5.22--5.26</w:t>
            </w:r>
          </w:p>
        </w:tc>
        <w:tc>
          <w:tcPr>
            <w:tcW w:w="3940"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楷体_GB2312" w:hAnsi="宋体" w:eastAsia="楷体_GB2312" w:cs="宋体"/>
                <w:kern w:val="0"/>
                <w:sz w:val="36"/>
                <w:szCs w:val="36"/>
                <w:lang w:val="en-US" w:eastAsia="zh-CN" w:bidi="ar-SA"/>
              </w:rPr>
            </w:pPr>
            <w:r>
              <w:rPr>
                <w:rFonts w:hint="eastAsia" w:ascii="宋体" w:hAnsi="宋体" w:eastAsia="宋体" w:cs="宋体"/>
                <w:kern w:val="0"/>
                <w:sz w:val="24"/>
                <w:szCs w:val="24"/>
                <w:lang w:eastAsia="zh-CN"/>
              </w:rPr>
              <w:t>空间几何体多面体与旋转体、</w:t>
            </w:r>
            <w:r>
              <w:rPr>
                <w:rFonts w:hint="eastAsia" w:ascii="楷体_GB2312" w:hAnsi="宋体" w:eastAsia="楷体_GB2312" w:cs="宋体"/>
                <w:kern w:val="0"/>
                <w:sz w:val="36"/>
                <w:szCs w:val="36"/>
                <w:lang w:eastAsia="zh-CN"/>
              </w:rPr>
              <w:t>棱柱、棱锥、圆柱、圆锥、球</w:t>
            </w:r>
          </w:p>
        </w:tc>
        <w:tc>
          <w:tcPr>
            <w:tcW w:w="2480"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楷体_GB2312" w:hAnsi="宋体" w:eastAsia="楷体_GB2312" w:cs="宋体"/>
                <w:kern w:val="0"/>
                <w:sz w:val="36"/>
                <w:szCs w:val="36"/>
                <w:lang w:val="en-US" w:eastAsia="zh-CN" w:bidi="ar-SA"/>
              </w:rPr>
            </w:pPr>
            <w:r>
              <w:rPr>
                <w:rFonts w:hint="eastAsia" w:ascii="楷体_GB2312" w:hAnsi="宋体" w:eastAsia="楷体_GB2312" w:cs="宋体"/>
                <w:kern w:val="0"/>
                <w:sz w:val="36"/>
                <w:szCs w:val="36"/>
                <w:lang w:eastAsia="zh-CN"/>
              </w:rPr>
              <w:t>棱柱、棱锥、圆柱、圆锥、球</w:t>
            </w:r>
          </w:p>
        </w:tc>
        <w:tc>
          <w:tcPr>
            <w:tcW w:w="600" w:type="dxa"/>
            <w:tcBorders>
              <w:top w:val="single" w:color="auto" w:sz="4" w:space="0"/>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w:t>
            </w:r>
          </w:p>
        </w:tc>
        <w:tc>
          <w:tcPr>
            <w:tcW w:w="560" w:type="dxa"/>
            <w:tcBorders>
              <w:top w:val="single" w:color="auto" w:sz="4" w:space="0"/>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5.29--6.02</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楷体_GB2312" w:hAnsi="宋体" w:eastAsia="楷体_GB2312" w:cs="宋体"/>
                <w:kern w:val="0"/>
                <w:sz w:val="36"/>
                <w:szCs w:val="36"/>
                <w:lang w:val="en-US" w:eastAsia="zh-CN" w:bidi="ar-SA"/>
              </w:rPr>
            </w:pPr>
            <w:r>
              <w:rPr>
                <w:rFonts w:hint="eastAsia" w:ascii="楷体_GB2312" w:hAnsi="宋体" w:eastAsia="楷体_GB2312" w:cs="宋体"/>
                <w:kern w:val="0"/>
                <w:sz w:val="36"/>
                <w:szCs w:val="36"/>
                <w:lang w:eastAsia="zh-CN"/>
              </w:rPr>
              <w:t>三视图、直观图、</w:t>
            </w:r>
            <w:r>
              <w:rPr>
                <w:rFonts w:hint="eastAsia" w:ascii="宋体" w:hAnsi="宋体" w:eastAsia="宋体" w:cs="宋体"/>
                <w:kern w:val="0"/>
                <w:sz w:val="24"/>
                <w:szCs w:val="24"/>
                <w:lang w:eastAsia="zh-CN"/>
              </w:rPr>
              <w:t>空间几何体多面体与旋转体</w:t>
            </w:r>
          </w:p>
        </w:tc>
        <w:tc>
          <w:tcPr>
            <w:tcW w:w="248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楷体_GB2312" w:hAnsi="宋体" w:eastAsia="楷体_GB2312" w:cs="宋体"/>
                <w:kern w:val="0"/>
                <w:sz w:val="36"/>
                <w:szCs w:val="36"/>
                <w:lang w:val="en-US" w:eastAsia="zh-CN" w:bidi="ar-SA"/>
              </w:rPr>
            </w:pPr>
            <w:r>
              <w:rPr>
                <w:rFonts w:hint="eastAsia" w:ascii="楷体_GB2312" w:hAnsi="宋体" w:eastAsia="楷体_GB2312" w:cs="宋体"/>
                <w:kern w:val="0"/>
                <w:sz w:val="36"/>
                <w:szCs w:val="36"/>
                <w:lang w:eastAsia="zh-CN"/>
              </w:rPr>
              <w:t>三视图、直观图</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6.05--6.09</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楷体_GB2312" w:hAnsi="宋体" w:eastAsia="楷体_GB2312" w:cs="宋体"/>
                <w:kern w:val="0"/>
                <w:sz w:val="36"/>
                <w:szCs w:val="36"/>
                <w:lang w:val="en-US" w:eastAsia="zh-CN" w:bidi="ar-SA"/>
              </w:rPr>
            </w:pPr>
            <w:r>
              <w:rPr>
                <w:rFonts w:hint="eastAsia" w:ascii="楷体_GB2312" w:hAnsi="宋体" w:eastAsia="楷体_GB2312" w:cs="宋体"/>
                <w:kern w:val="0"/>
                <w:sz w:val="36"/>
                <w:szCs w:val="36"/>
                <w:lang w:eastAsia="zh-CN"/>
              </w:rPr>
              <w:t>随机试验、古典概型</w:t>
            </w:r>
          </w:p>
        </w:tc>
        <w:tc>
          <w:tcPr>
            <w:tcW w:w="248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楷体_GB2312" w:hAnsi="宋体" w:eastAsia="楷体_GB2312" w:cs="宋体"/>
                <w:kern w:val="0"/>
                <w:sz w:val="36"/>
                <w:szCs w:val="36"/>
                <w:lang w:val="en-US" w:eastAsia="zh-CN" w:bidi="ar-SA"/>
              </w:rPr>
            </w:pPr>
            <w:r>
              <w:rPr>
                <w:rFonts w:hint="eastAsia" w:ascii="楷体_GB2312" w:hAnsi="宋体" w:eastAsia="楷体_GB2312" w:cs="宋体"/>
                <w:kern w:val="0"/>
                <w:sz w:val="36"/>
                <w:szCs w:val="36"/>
                <w:lang w:eastAsia="zh-CN"/>
              </w:rPr>
              <w:t>随机试验、古典概型</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6.12--6.16</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抽样方法</w:t>
            </w:r>
          </w:p>
        </w:tc>
        <w:tc>
          <w:tcPr>
            <w:tcW w:w="248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抽样方法</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6.19--6.23</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用样本估计总体，方差，标准差</w:t>
            </w:r>
          </w:p>
        </w:tc>
        <w:tc>
          <w:tcPr>
            <w:tcW w:w="248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用样本估计总体，方差，标准差</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6.26--6.30</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期末复习</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7.03--7.07</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期末考试</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8"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23</w:t>
            </w:r>
          </w:p>
        </w:tc>
        <w:tc>
          <w:tcPr>
            <w:tcW w:w="2060" w:type="dxa"/>
            <w:tcBorders>
              <w:top w:val="nil"/>
              <w:left w:val="nil"/>
              <w:bottom w:val="single" w:color="auto" w:sz="8"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7.10--7.12</w:t>
            </w:r>
          </w:p>
        </w:tc>
        <w:tc>
          <w:tcPr>
            <w:tcW w:w="6420" w:type="dxa"/>
            <w:gridSpan w:val="2"/>
            <w:tcBorders>
              <w:top w:val="single" w:color="auto" w:sz="4" w:space="0"/>
              <w:left w:val="nil"/>
              <w:bottom w:val="single" w:color="auto" w:sz="8"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成绩分析</w:t>
            </w:r>
          </w:p>
        </w:tc>
        <w:tc>
          <w:tcPr>
            <w:tcW w:w="600" w:type="dxa"/>
            <w:tcBorders>
              <w:top w:val="nil"/>
              <w:left w:val="nil"/>
              <w:bottom w:val="single" w:color="auto" w:sz="8"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8"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bl>
    <w:p>
      <w:pPr>
        <w:rPr>
          <w:rFonts w:hint="eastAsia"/>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1C36CB"/>
    <w:multiLevelType w:val="singleLevel"/>
    <w:tmpl w:val="BF1C36CB"/>
    <w:lvl w:ilvl="0" w:tentative="0">
      <w:start w:val="2"/>
      <w:numFmt w:val="decimal"/>
      <w:suff w:val="nothing"/>
      <w:lvlText w:val="%1、"/>
      <w:lvlJc w:val="left"/>
    </w:lvl>
  </w:abstractNum>
  <w:abstractNum w:abstractNumId="1">
    <w:nsid w:val="D4E80F98"/>
    <w:multiLevelType w:val="singleLevel"/>
    <w:tmpl w:val="D4E80F98"/>
    <w:lvl w:ilvl="0" w:tentative="0">
      <w:start w:val="1"/>
      <w:numFmt w:val="chineseCounting"/>
      <w:suff w:val="nothing"/>
      <w:lvlText w:val="%1、"/>
      <w:lvlJc w:val="left"/>
      <w:rPr>
        <w:rFonts w:hint="eastAsia"/>
      </w:rPr>
    </w:lvl>
  </w:abstractNum>
  <w:abstractNum w:abstractNumId="2">
    <w:nsid w:val="5DE219E0"/>
    <w:multiLevelType w:val="singleLevel"/>
    <w:tmpl w:val="5DE219E0"/>
    <w:lvl w:ilvl="0" w:tentative="0">
      <w:start w:val="1"/>
      <w:numFmt w:val="decimal"/>
      <w:suff w:val="nothing"/>
      <w:lvlText w:val="%1、"/>
      <w:lvlJc w:val="left"/>
    </w:lvl>
  </w:abstractNum>
  <w:abstractNum w:abstractNumId="3">
    <w:nsid w:val="68506801"/>
    <w:multiLevelType w:val="singleLevel"/>
    <w:tmpl w:val="68506801"/>
    <w:lvl w:ilvl="0" w:tentative="0">
      <w:start w:val="1"/>
      <w:numFmt w:val="decimal"/>
      <w:suff w:val="nothing"/>
      <w:lvlText w:val="%1、"/>
      <w:lvlJc w:val="left"/>
    </w:lvl>
  </w:abstractNum>
  <w:abstractNum w:abstractNumId="4">
    <w:nsid w:val="746CCA62"/>
    <w:multiLevelType w:val="singleLevel"/>
    <w:tmpl w:val="746CCA62"/>
    <w:lvl w:ilvl="0" w:tentative="0">
      <w:start w:val="1"/>
      <w:numFmt w:val="decimal"/>
      <w:suff w:val="nothing"/>
      <w:lvlText w:val="%1、"/>
      <w:lvlJc w:val="left"/>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NjMzQxNDAyZWE5MDVlMTM4OWMyMmNhZDgyNjI5NTcifQ=="/>
  </w:docVars>
  <w:rsids>
    <w:rsidRoot w:val="00C25877"/>
    <w:rsid w:val="00012916"/>
    <w:rsid w:val="003F2302"/>
    <w:rsid w:val="0078646B"/>
    <w:rsid w:val="009E40AD"/>
    <w:rsid w:val="00C25877"/>
    <w:rsid w:val="00E6636F"/>
    <w:rsid w:val="00E90810"/>
    <w:rsid w:val="00EA769F"/>
    <w:rsid w:val="4D806A03"/>
    <w:rsid w:val="55320D2F"/>
    <w:rsid w:val="63C125F9"/>
    <w:rsid w:val="67DA5694"/>
    <w:rsid w:val="766C59F7"/>
    <w:rsid w:val="780166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1052</Words>
  <Characters>1285</Characters>
  <Lines>5</Lines>
  <Paragraphs>1</Paragraphs>
  <TotalTime>2</TotalTime>
  <ScaleCrop>false</ScaleCrop>
  <LinksUpToDate>false</LinksUpToDate>
  <CharactersWithSpaces>1349</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2023-02-07T07:05:00Z</dcterms:created>
  <dc:creator>DELL</dc:creator>
  <cp:lastModifiedBy>Just__依然</cp:lastModifiedBy>
  <dcterms:modified xsi:type="dcterms:W3CDTF">2023-02-08T07:15:20Z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4FDEB85769114D76AAEABB1B5D024D69</vt:lpwstr>
  </property>
</Properties>
</file>